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3E328" w14:textId="2F3B7567" w:rsidR="00F81C20" w:rsidRDefault="00F81C20" w:rsidP="00680EF2">
      <w:pPr>
        <w:pStyle w:val="Corpsdetexte"/>
        <w:spacing w:before="240" w:after="240"/>
        <w:ind w:left="360"/>
        <w:jc w:val="both"/>
        <w:rPr>
          <w:rFonts w:ascii="Verdana" w:hAnsi="Verdana"/>
          <w:b/>
          <w:bCs/>
          <w:sz w:val="20"/>
          <w:szCs w:val="20"/>
          <w:u w:val="single"/>
        </w:rPr>
      </w:pPr>
      <w:r>
        <w:rPr>
          <w:rFonts w:ascii="Verdana" w:hAnsi="Verdana"/>
          <w:b/>
          <w:bCs/>
          <w:sz w:val="20"/>
          <w:szCs w:val="20"/>
          <w:u w:val="single"/>
        </w:rPr>
        <w:t>Frais médicaux : il y a du changement et c’est important !</w:t>
      </w:r>
    </w:p>
    <w:p w14:paraId="70EE789E" w14:textId="5597D56F" w:rsidR="00680EF2" w:rsidRPr="00795C00" w:rsidRDefault="00795C00" w:rsidP="00680EF2">
      <w:pPr>
        <w:pStyle w:val="Corpsdetexte"/>
        <w:spacing w:before="240" w:after="240"/>
        <w:ind w:left="360"/>
        <w:jc w:val="both"/>
        <w:rPr>
          <w:rFonts w:ascii="Verdana" w:hAnsi="Verdana"/>
          <w:b/>
          <w:bCs/>
          <w:sz w:val="20"/>
          <w:szCs w:val="20"/>
          <w:u w:val="single"/>
        </w:rPr>
      </w:pPr>
      <w:r w:rsidRPr="00795C00">
        <w:rPr>
          <w:rFonts w:ascii="Verdana" w:hAnsi="Verdana"/>
          <w:b/>
          <w:bCs/>
          <w:sz w:val="20"/>
          <w:szCs w:val="20"/>
          <w:u w:val="single"/>
        </w:rPr>
        <w:t>Convention entre la Fédération des hôpitaux luxembourgeois et la Commission européenne.</w:t>
      </w:r>
    </w:p>
    <w:p w14:paraId="07963160" w14:textId="77777777"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En septembre dernier, le PMO et la Fédération des hôpitaux luxembourgeois (FHL), ont signé un arrangement administratif pour définir les règles et procédures administratives, qui faciliteront l’accueil et la prise en charge des affiliés et bénéficiaires (qui résident ou pas au Luxembourg) en couverture primaire auprès du RCAM.</w:t>
      </w:r>
    </w:p>
    <w:p w14:paraId="27F0D99D" w14:textId="747F2518"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 xml:space="preserve">Cette nouvelle procédure </w:t>
      </w:r>
      <w:r w:rsidR="00D0401B">
        <w:rPr>
          <w:rFonts w:ascii="Verdana" w:hAnsi="Verdana"/>
          <w:sz w:val="20"/>
          <w:szCs w:val="20"/>
        </w:rPr>
        <w:t xml:space="preserve">doit </w:t>
      </w:r>
      <w:r w:rsidRPr="00A91AC6">
        <w:rPr>
          <w:rFonts w:ascii="Verdana" w:hAnsi="Verdana"/>
          <w:sz w:val="20"/>
          <w:szCs w:val="20"/>
        </w:rPr>
        <w:t>réduir</w:t>
      </w:r>
      <w:r w:rsidR="00D0401B">
        <w:rPr>
          <w:rFonts w:ascii="Verdana" w:hAnsi="Verdana"/>
          <w:sz w:val="20"/>
          <w:szCs w:val="20"/>
        </w:rPr>
        <w:t>e</w:t>
      </w:r>
      <w:r w:rsidRPr="00A91AC6">
        <w:rPr>
          <w:rFonts w:ascii="Verdana" w:hAnsi="Verdana"/>
          <w:sz w:val="20"/>
          <w:szCs w:val="20"/>
        </w:rPr>
        <w:t xml:space="preserve"> considérablement la paperasserie et alléger la charge administrative pour les collègues en matière de facturation directe, même si une autorisation préalable </w:t>
      </w:r>
      <w:r w:rsidR="00D0401B">
        <w:rPr>
          <w:rFonts w:ascii="Verdana" w:hAnsi="Verdana"/>
          <w:sz w:val="20"/>
          <w:szCs w:val="20"/>
        </w:rPr>
        <w:t>est</w:t>
      </w:r>
      <w:r w:rsidRPr="00A91AC6">
        <w:rPr>
          <w:rFonts w:ascii="Verdana" w:hAnsi="Verdana"/>
          <w:sz w:val="20"/>
          <w:szCs w:val="20"/>
        </w:rPr>
        <w:t xml:space="preserve"> toujours requise pour certains traitements.</w:t>
      </w:r>
    </w:p>
    <w:p w14:paraId="5DD9162E" w14:textId="258F0A91"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Dans la pratique, les affiliés au RCAM p</w:t>
      </w:r>
      <w:r w:rsidR="00D0401B">
        <w:rPr>
          <w:rFonts w:ascii="Verdana" w:hAnsi="Verdana"/>
          <w:sz w:val="20"/>
          <w:szCs w:val="20"/>
        </w:rPr>
        <w:t>euvent</w:t>
      </w:r>
      <w:r w:rsidRPr="00A91AC6">
        <w:rPr>
          <w:rFonts w:ascii="Verdana" w:hAnsi="Verdana"/>
          <w:sz w:val="20"/>
          <w:szCs w:val="20"/>
        </w:rPr>
        <w:t xml:space="preserve"> générer un certificat de couverture RCAM spécifique pour une hospitalisation, un accouchement ou des traitements ambulatoires lourds dans un hôpital luxembourgeois affilié à la FHL</w:t>
      </w:r>
      <w:r w:rsidR="00F81C20">
        <w:rPr>
          <w:rFonts w:ascii="Verdana" w:hAnsi="Verdana"/>
          <w:sz w:val="20"/>
          <w:szCs w:val="20"/>
        </w:rPr>
        <w:t xml:space="preserve"> (sur le site du RCAM, aller dans « Attestations », puis cliquer sur « Certificat RCAM pour hôpitaux Luxembourg (FHL) »)</w:t>
      </w:r>
      <w:r w:rsidRPr="00A91AC6">
        <w:rPr>
          <w:rFonts w:ascii="Verdana" w:hAnsi="Verdana"/>
          <w:sz w:val="20"/>
          <w:szCs w:val="20"/>
        </w:rPr>
        <w:t>. Sur présentation de ce certificat lors de l'admission, l'hôpital enverra les factures au RCAM pour paiement. Tout montant restant à la charge de l'affilié au RCAM sera déduit des futurs remboursements du RCAM ou, le cas échéant, de la pension.</w:t>
      </w:r>
    </w:p>
    <w:p w14:paraId="6C34BAC0" w14:textId="77777777" w:rsidR="00680EF2" w:rsidRPr="00A91AC6"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En d’autres termes, il n’est plus nécessaire de contacter au préalable le RCAM pour introduire une demande de prise en charge.</w:t>
      </w:r>
    </w:p>
    <w:p w14:paraId="3DED4200" w14:textId="0BF87130" w:rsidR="00680EF2" w:rsidRDefault="00680EF2" w:rsidP="00680EF2">
      <w:pPr>
        <w:pStyle w:val="Corpsdetexte"/>
        <w:spacing w:before="240" w:after="240"/>
        <w:ind w:left="360"/>
        <w:jc w:val="both"/>
        <w:rPr>
          <w:rFonts w:ascii="Verdana" w:hAnsi="Verdana"/>
          <w:sz w:val="20"/>
          <w:szCs w:val="20"/>
        </w:rPr>
      </w:pPr>
      <w:r w:rsidRPr="00A91AC6">
        <w:rPr>
          <w:rFonts w:ascii="Verdana" w:hAnsi="Verdana"/>
          <w:sz w:val="20"/>
          <w:szCs w:val="20"/>
        </w:rPr>
        <w:t>L’arrangement administratif est entré en vigueur au 1</w:t>
      </w:r>
      <w:r w:rsidRPr="00A91AC6">
        <w:rPr>
          <w:rFonts w:ascii="Verdana" w:hAnsi="Verdana"/>
          <w:sz w:val="20"/>
          <w:szCs w:val="20"/>
          <w:vertAlign w:val="superscript"/>
        </w:rPr>
        <w:t>er</w:t>
      </w:r>
      <w:r w:rsidRPr="00A91AC6">
        <w:rPr>
          <w:rFonts w:ascii="Verdana" w:hAnsi="Verdana"/>
          <w:sz w:val="20"/>
          <w:szCs w:val="20"/>
        </w:rPr>
        <w:t xml:space="preserve"> octobre 2025 et sera appliqué au sein des hôpitaux concernés en plusieurs étapes pour des raisons techniques. Ainsi, les Hôpitaux Robert Schuman (HRS) et le Centre hospitalier du Luxembourg (CHL) appliquent les nouvelles dispositions administratives </w:t>
      </w:r>
      <w:r w:rsidR="00795C00">
        <w:rPr>
          <w:rFonts w:ascii="Verdana" w:hAnsi="Verdana"/>
          <w:sz w:val="20"/>
          <w:szCs w:val="20"/>
        </w:rPr>
        <w:t>depuis le</w:t>
      </w:r>
      <w:r w:rsidRPr="00A91AC6">
        <w:rPr>
          <w:rFonts w:ascii="Verdana" w:hAnsi="Verdana"/>
          <w:sz w:val="20"/>
          <w:szCs w:val="20"/>
        </w:rPr>
        <w:t xml:space="preserve"> 1</w:t>
      </w:r>
      <w:r w:rsidRPr="00A91AC6">
        <w:rPr>
          <w:rFonts w:ascii="Verdana" w:hAnsi="Verdana"/>
          <w:sz w:val="20"/>
          <w:szCs w:val="20"/>
          <w:vertAlign w:val="superscript"/>
        </w:rPr>
        <w:t>er</w:t>
      </w:r>
      <w:r w:rsidRPr="00A91AC6">
        <w:rPr>
          <w:rFonts w:ascii="Verdana" w:hAnsi="Verdana"/>
          <w:sz w:val="20"/>
          <w:szCs w:val="20"/>
        </w:rPr>
        <w:t xml:space="preserve"> octobre 2025. Le Centre hospitalier </w:t>
      </w:r>
      <w:proofErr w:type="spellStart"/>
      <w:r w:rsidRPr="00A91AC6">
        <w:rPr>
          <w:rFonts w:ascii="Verdana" w:hAnsi="Verdana"/>
          <w:sz w:val="20"/>
          <w:szCs w:val="20"/>
        </w:rPr>
        <w:t>Emile</w:t>
      </w:r>
      <w:proofErr w:type="spellEnd"/>
      <w:r w:rsidRPr="00A91AC6">
        <w:rPr>
          <w:rFonts w:ascii="Verdana" w:hAnsi="Verdana"/>
          <w:sz w:val="20"/>
          <w:szCs w:val="20"/>
        </w:rPr>
        <w:t xml:space="preserve"> </w:t>
      </w:r>
      <w:proofErr w:type="spellStart"/>
      <w:r w:rsidRPr="00A91AC6">
        <w:rPr>
          <w:rFonts w:ascii="Verdana" w:hAnsi="Verdana"/>
          <w:sz w:val="20"/>
          <w:szCs w:val="20"/>
        </w:rPr>
        <w:t>Mayrisch</w:t>
      </w:r>
      <w:proofErr w:type="spellEnd"/>
      <w:r w:rsidRPr="00A91AC6">
        <w:rPr>
          <w:rFonts w:ascii="Verdana" w:hAnsi="Verdana"/>
          <w:sz w:val="20"/>
          <w:szCs w:val="20"/>
        </w:rPr>
        <w:t xml:space="preserve"> (CHEM) et le Centre hospitalier du Nord (</w:t>
      </w:r>
      <w:proofErr w:type="spellStart"/>
      <w:r w:rsidRPr="00A91AC6">
        <w:rPr>
          <w:rFonts w:ascii="Verdana" w:hAnsi="Verdana"/>
          <w:sz w:val="20"/>
          <w:szCs w:val="20"/>
        </w:rPr>
        <w:t>CHdN</w:t>
      </w:r>
      <w:proofErr w:type="spellEnd"/>
      <w:r w:rsidRPr="00A91AC6">
        <w:rPr>
          <w:rFonts w:ascii="Verdana" w:hAnsi="Verdana"/>
          <w:sz w:val="20"/>
          <w:szCs w:val="20"/>
        </w:rPr>
        <w:t>) suivront dans les prochains mois.</w:t>
      </w:r>
    </w:p>
    <w:p w14:paraId="408907E0" w14:textId="7D47E038" w:rsidR="00CE7BC7" w:rsidRDefault="00CE7BC7" w:rsidP="00680EF2">
      <w:pPr>
        <w:pStyle w:val="Corpsdetexte"/>
        <w:spacing w:before="240" w:after="240"/>
        <w:ind w:left="360"/>
        <w:jc w:val="both"/>
        <w:rPr>
          <w:rFonts w:ascii="Verdana" w:hAnsi="Verdana"/>
          <w:sz w:val="20"/>
          <w:szCs w:val="20"/>
        </w:rPr>
      </w:pPr>
      <w:r>
        <w:rPr>
          <w:rFonts w:ascii="Verdana" w:hAnsi="Verdana"/>
          <w:sz w:val="20"/>
          <w:szCs w:val="20"/>
        </w:rPr>
        <w:t>Comment procéder ?</w:t>
      </w:r>
    </w:p>
    <w:p w14:paraId="2DF83050" w14:textId="5C601959" w:rsidR="00CE7BC7" w:rsidRDefault="00CE7BC7" w:rsidP="00680EF2">
      <w:pPr>
        <w:pStyle w:val="Corpsdetexte"/>
        <w:spacing w:before="240" w:after="240"/>
        <w:ind w:left="360"/>
        <w:jc w:val="both"/>
        <w:rPr>
          <w:rFonts w:ascii="Verdana" w:hAnsi="Verdana"/>
          <w:sz w:val="20"/>
          <w:szCs w:val="20"/>
        </w:rPr>
      </w:pPr>
      <w:r>
        <w:rPr>
          <w:rFonts w:ascii="Verdana" w:hAnsi="Verdana"/>
          <w:sz w:val="20"/>
          <w:szCs w:val="20"/>
        </w:rPr>
        <w:t xml:space="preserve">Aller sur le site du RCAM : </w:t>
      </w:r>
      <w:hyperlink r:id="rId4" w:history="1">
        <w:r w:rsidRPr="00E14242">
          <w:rPr>
            <w:rStyle w:val="Lienhypertexte"/>
            <w:rFonts w:ascii="Verdana" w:hAnsi="Verdana"/>
            <w:sz w:val="20"/>
            <w:szCs w:val="20"/>
          </w:rPr>
          <w:t>https://webgate.ec.europa.eu/RCAM</w:t>
        </w:r>
      </w:hyperlink>
    </w:p>
    <w:p w14:paraId="224C2CD9" w14:textId="3F1350C0" w:rsidR="00CE7BC7" w:rsidRDefault="00CE7BC7" w:rsidP="00680EF2">
      <w:pPr>
        <w:pStyle w:val="Corpsdetexte"/>
        <w:spacing w:before="240" w:after="240"/>
        <w:ind w:left="360"/>
        <w:jc w:val="both"/>
        <w:rPr>
          <w:rFonts w:ascii="Verdana" w:hAnsi="Verdana"/>
          <w:sz w:val="20"/>
          <w:szCs w:val="20"/>
        </w:rPr>
      </w:pPr>
      <w:r>
        <w:rPr>
          <w:rFonts w:ascii="Verdana" w:hAnsi="Verdana"/>
          <w:sz w:val="20"/>
          <w:szCs w:val="20"/>
        </w:rPr>
        <w:t>Cliquer sur « Attestations » (rangée verte)</w:t>
      </w:r>
    </w:p>
    <w:p w14:paraId="1EA8CA72" w14:textId="20BA4C9F" w:rsidR="00CE7BC7" w:rsidRDefault="00CE7BC7" w:rsidP="00680EF2">
      <w:pPr>
        <w:pStyle w:val="Corpsdetexte"/>
        <w:spacing w:before="240" w:after="240"/>
        <w:ind w:left="360"/>
        <w:jc w:val="both"/>
        <w:rPr>
          <w:rFonts w:ascii="Verdana" w:hAnsi="Verdana"/>
          <w:sz w:val="20"/>
          <w:szCs w:val="20"/>
        </w:rPr>
      </w:pPr>
      <w:r>
        <w:rPr>
          <w:rFonts w:ascii="Verdana" w:hAnsi="Verdana"/>
          <w:sz w:val="20"/>
          <w:szCs w:val="20"/>
        </w:rPr>
        <w:t>Cliquer sur « Certificat RCAM  pour hôpitaux. Luxembourg/FHL »</w:t>
      </w:r>
    </w:p>
    <w:p w14:paraId="536AB0F8" w14:textId="67572974" w:rsidR="00CE7BC7" w:rsidRPr="00A91AC6" w:rsidRDefault="00CE7BC7" w:rsidP="00680EF2">
      <w:pPr>
        <w:pStyle w:val="Corpsdetexte"/>
        <w:spacing w:before="240" w:after="240"/>
        <w:ind w:left="360"/>
        <w:jc w:val="both"/>
        <w:rPr>
          <w:rFonts w:ascii="Verdana" w:hAnsi="Verdana"/>
          <w:sz w:val="20"/>
          <w:szCs w:val="20"/>
        </w:rPr>
      </w:pPr>
      <w:r>
        <w:rPr>
          <w:rFonts w:ascii="Verdana" w:hAnsi="Verdana"/>
          <w:sz w:val="20"/>
          <w:szCs w:val="20"/>
        </w:rPr>
        <w:t>Consulter les prestations couvertes et exclues et les hôpitaux concernés.</w:t>
      </w:r>
    </w:p>
    <w:p w14:paraId="0DBAB29F" w14:textId="77777777" w:rsidR="00680EF2" w:rsidRPr="00680EF2" w:rsidRDefault="00680EF2">
      <w:pPr>
        <w:rPr>
          <w:lang w:val="fr-BE"/>
        </w:rPr>
      </w:pPr>
    </w:p>
    <w:sectPr w:rsidR="00680EF2" w:rsidRPr="00680E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F2"/>
    <w:rsid w:val="00591306"/>
    <w:rsid w:val="00680EF2"/>
    <w:rsid w:val="006D74BA"/>
    <w:rsid w:val="00795C00"/>
    <w:rsid w:val="008D798F"/>
    <w:rsid w:val="009B0C99"/>
    <w:rsid w:val="00CE7BC7"/>
    <w:rsid w:val="00D0401B"/>
    <w:rsid w:val="00F81C20"/>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ecimalSymbol w:val=","/>
  <w:listSeparator w:val=";"/>
  <w14:docId w14:val="0A79ED43"/>
  <w15:chartTrackingRefBased/>
  <w15:docId w15:val="{F5CF98AF-F5AC-1343-8F13-65C93A4B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L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80E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80E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80EF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80EF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80EF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80E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80E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80E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80E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80EF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80EF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80EF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80EF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80EF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80E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80E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80E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80EF2"/>
    <w:rPr>
      <w:rFonts w:eastAsiaTheme="majorEastAsia" w:cstheme="majorBidi"/>
      <w:color w:val="272727" w:themeColor="text1" w:themeTint="D8"/>
    </w:rPr>
  </w:style>
  <w:style w:type="paragraph" w:styleId="Titre">
    <w:name w:val="Title"/>
    <w:basedOn w:val="Normal"/>
    <w:next w:val="Normal"/>
    <w:link w:val="TitreCar"/>
    <w:uiPriority w:val="10"/>
    <w:qFormat/>
    <w:rsid w:val="00680E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80E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80E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80E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80EF2"/>
    <w:pPr>
      <w:spacing w:before="160"/>
      <w:jc w:val="center"/>
    </w:pPr>
    <w:rPr>
      <w:i/>
      <w:iCs/>
      <w:color w:val="404040" w:themeColor="text1" w:themeTint="BF"/>
    </w:rPr>
  </w:style>
  <w:style w:type="character" w:customStyle="1" w:styleId="CitationCar">
    <w:name w:val="Citation Car"/>
    <w:basedOn w:val="Policepardfaut"/>
    <w:link w:val="Citation"/>
    <w:uiPriority w:val="29"/>
    <w:rsid w:val="00680EF2"/>
    <w:rPr>
      <w:i/>
      <w:iCs/>
      <w:color w:val="404040" w:themeColor="text1" w:themeTint="BF"/>
    </w:rPr>
  </w:style>
  <w:style w:type="paragraph" w:styleId="Paragraphedeliste">
    <w:name w:val="List Paragraph"/>
    <w:basedOn w:val="Normal"/>
    <w:uiPriority w:val="34"/>
    <w:qFormat/>
    <w:rsid w:val="00680EF2"/>
    <w:pPr>
      <w:ind w:left="720"/>
      <w:contextualSpacing/>
    </w:pPr>
  </w:style>
  <w:style w:type="character" w:styleId="Accentuationintense">
    <w:name w:val="Intense Emphasis"/>
    <w:basedOn w:val="Policepardfaut"/>
    <w:uiPriority w:val="21"/>
    <w:qFormat/>
    <w:rsid w:val="00680EF2"/>
    <w:rPr>
      <w:i/>
      <w:iCs/>
      <w:color w:val="0F4761" w:themeColor="accent1" w:themeShade="BF"/>
    </w:rPr>
  </w:style>
  <w:style w:type="paragraph" w:styleId="Citationintense">
    <w:name w:val="Intense Quote"/>
    <w:basedOn w:val="Normal"/>
    <w:next w:val="Normal"/>
    <w:link w:val="CitationintenseCar"/>
    <w:uiPriority w:val="30"/>
    <w:qFormat/>
    <w:rsid w:val="00680E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80EF2"/>
    <w:rPr>
      <w:i/>
      <w:iCs/>
      <w:color w:val="0F4761" w:themeColor="accent1" w:themeShade="BF"/>
    </w:rPr>
  </w:style>
  <w:style w:type="character" w:styleId="Rfrenceintense">
    <w:name w:val="Intense Reference"/>
    <w:basedOn w:val="Policepardfaut"/>
    <w:uiPriority w:val="32"/>
    <w:qFormat/>
    <w:rsid w:val="00680EF2"/>
    <w:rPr>
      <w:b/>
      <w:bCs/>
      <w:smallCaps/>
      <w:color w:val="0F4761" w:themeColor="accent1" w:themeShade="BF"/>
      <w:spacing w:val="5"/>
    </w:rPr>
  </w:style>
  <w:style w:type="paragraph" w:styleId="Corpsdetexte">
    <w:name w:val="Body Text"/>
    <w:basedOn w:val="Normal"/>
    <w:link w:val="CorpsdetexteCar"/>
    <w:uiPriority w:val="99"/>
    <w:rsid w:val="00680EF2"/>
    <w:pPr>
      <w:widowControl w:val="0"/>
      <w:suppressAutoHyphens/>
      <w:spacing w:after="0" w:line="240" w:lineRule="auto"/>
    </w:pPr>
    <w:rPr>
      <w:rFonts w:ascii="Times New Roman" w:eastAsia="Times New Roman" w:hAnsi="Times New Roman" w:cs="Times New Roman"/>
      <w:kern w:val="0"/>
      <w:lang w:val="fr-BE" w:eastAsia="fr-FR"/>
      <w14:ligatures w14:val="none"/>
    </w:rPr>
  </w:style>
  <w:style w:type="character" w:customStyle="1" w:styleId="CorpsdetexteCar">
    <w:name w:val="Corps de texte Car"/>
    <w:basedOn w:val="Policepardfaut"/>
    <w:link w:val="Corpsdetexte"/>
    <w:uiPriority w:val="99"/>
    <w:rsid w:val="00680EF2"/>
    <w:rPr>
      <w:rFonts w:ascii="Times New Roman" w:eastAsia="Times New Roman" w:hAnsi="Times New Roman" w:cs="Times New Roman"/>
      <w:kern w:val="0"/>
      <w:lang w:val="fr-BE" w:eastAsia="fr-FR"/>
      <w14:ligatures w14:val="none"/>
    </w:rPr>
  </w:style>
  <w:style w:type="character" w:styleId="Lienhypertexte">
    <w:name w:val="Hyperlink"/>
    <w:basedOn w:val="Policepardfaut"/>
    <w:uiPriority w:val="99"/>
    <w:unhideWhenUsed/>
    <w:rsid w:val="00CE7BC7"/>
    <w:rPr>
      <w:color w:val="467886" w:themeColor="hyperlink"/>
      <w:u w:val="single"/>
    </w:rPr>
  </w:style>
  <w:style w:type="character" w:styleId="Mentionnonrsolue">
    <w:name w:val="Unresolved Mention"/>
    <w:basedOn w:val="Policepardfaut"/>
    <w:uiPriority w:val="99"/>
    <w:semiHidden/>
    <w:unhideWhenUsed/>
    <w:rsid w:val="00CE7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ebgate.ec.europa.eu/RCA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1865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DELMÉE</dc:creator>
  <cp:keywords/>
  <dc:description/>
  <cp:lastModifiedBy>Daniel DELMÉE</cp:lastModifiedBy>
  <cp:revision>2</cp:revision>
  <dcterms:created xsi:type="dcterms:W3CDTF">2025-12-05T16:16:00Z</dcterms:created>
  <dcterms:modified xsi:type="dcterms:W3CDTF">2025-12-05T16:16:00Z</dcterms:modified>
</cp:coreProperties>
</file>